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65" w:rsidRPr="00621165" w:rsidRDefault="00621165" w:rsidP="00621165">
      <w:pPr>
        <w:shd w:val="clear" w:color="auto" w:fill="006768"/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C8FEFF"/>
          <w:kern w:val="36"/>
          <w:sz w:val="57"/>
          <w:szCs w:val="57"/>
          <w:lang w:eastAsia="cs-CZ"/>
        </w:rPr>
      </w:pPr>
      <w:r w:rsidRPr="00621165">
        <w:rPr>
          <w:rFonts w:ascii="Comic Sans MS" w:eastAsia="Times New Roman" w:hAnsi="Comic Sans MS" w:cs="Times New Roman"/>
          <w:b/>
          <w:bCs/>
          <w:color w:val="C8FEFF"/>
          <w:kern w:val="36"/>
          <w:sz w:val="57"/>
          <w:szCs w:val="57"/>
          <w:lang w:eastAsia="cs-CZ"/>
        </w:rPr>
        <w:t>KYSELOST A ZÁSADITOST ROZTOKŮ</w:t>
      </w:r>
    </w:p>
    <w:p w:rsidR="00621165" w:rsidRPr="00621165" w:rsidRDefault="00621165" w:rsidP="00621165">
      <w:pPr>
        <w:shd w:val="clear" w:color="auto" w:fill="ECFEFE"/>
        <w:spacing w:before="90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Indikátorem, např. lakmusem nebo fenolftaleinem můžeme zjistit, zda se jedná o kyselinu - </w:t>
      </w:r>
      <w:r w:rsidRPr="006211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kyselý roztok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nebo hydroxid - </w:t>
      </w:r>
      <w:r w:rsidRPr="006211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zásaditý roztok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tbl>
      <w:tblPr>
        <w:tblW w:w="0" w:type="auto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2737"/>
        <w:gridCol w:w="3299"/>
      </w:tblGrid>
      <w:tr w:rsidR="00621165" w:rsidRPr="00621165" w:rsidTr="00621165">
        <w:trPr>
          <w:tblCellSpacing w:w="15" w:type="dxa"/>
        </w:trPr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DE7"/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barva indikátoru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DE7"/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lakmus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DE7"/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fenolftalein</w:t>
            </w:r>
          </w:p>
        </w:tc>
      </w:tr>
      <w:tr w:rsidR="00621165" w:rsidRPr="00621165" w:rsidTr="00621165">
        <w:trPr>
          <w:tblCellSpacing w:w="15" w:type="dxa"/>
        </w:trPr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DE7"/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kyselina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červený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bezbarvý</w:t>
            </w:r>
          </w:p>
        </w:tc>
      </w:tr>
      <w:tr w:rsidR="00621165" w:rsidRPr="00621165" w:rsidTr="00621165">
        <w:trPr>
          <w:tblCellSpacing w:w="15" w:type="dxa"/>
        </w:trPr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DE7"/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hydroxid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modrý</w:t>
            </w:r>
          </w:p>
        </w:tc>
        <w:tc>
          <w:tcPr>
            <w:tcW w:w="10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21165" w:rsidRPr="00621165" w:rsidRDefault="00621165" w:rsidP="0062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červenofialový</w:t>
            </w:r>
          </w:p>
        </w:tc>
      </w:tr>
    </w:tbl>
    <w:p w:rsidR="00621165" w:rsidRPr="00621165" w:rsidRDefault="00621165" w:rsidP="00621165">
      <w:pPr>
        <w:shd w:val="clear" w:color="auto" w:fill="ECFEFE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drawing>
          <wp:inline distT="0" distB="0" distL="0" distR="0" wp14:anchorId="27C899B9" wp14:editId="7C99D511">
            <wp:extent cx="2857500" cy="2141220"/>
            <wp:effectExtent l="0" t="0" r="0" b="0"/>
            <wp:docPr id="5" name="obrázek 5" descr="http://www.komenskeho66.cz/materialy/chemie/WEB-CHEMIE8/obrazky/kyse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menskeho66.cz/materialy/chemie/WEB-CHEMIE8/obrazky/kyseli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65" w:rsidRPr="00621165" w:rsidRDefault="00621165" w:rsidP="00621165">
      <w:pPr>
        <w:shd w:val="clear" w:color="auto" w:fill="ECFE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621165" w:rsidRPr="00621165" w:rsidRDefault="00621165" w:rsidP="00621165">
      <w:pPr>
        <w:shd w:val="clear" w:color="auto" w:fill="ECFE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pict>
          <v:rect id="_x0000_i1025" style="width:0;height:1.5pt" o:hralign="center" o:hrstd="t" o:hr="t" fillcolor="#a0a0a0" stroked="f"/>
        </w:pict>
      </w:r>
    </w:p>
    <w:p w:rsidR="00621165" w:rsidRPr="00621165" w:rsidRDefault="00621165" w:rsidP="00621165">
      <w:pPr>
        <w:shd w:val="clear" w:color="auto" w:fill="CEDBE6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6F71"/>
          <w:sz w:val="24"/>
          <w:szCs w:val="24"/>
          <w:lang w:eastAsia="cs-CZ"/>
        </w:rPr>
      </w:pPr>
      <w:r w:rsidRPr="00621165">
        <w:rPr>
          <w:rFonts w:ascii="Times New Roman" w:eastAsia="Times New Roman" w:hAnsi="Times New Roman" w:cs="Times New Roman"/>
          <w:b/>
          <w:bCs/>
          <w:color w:val="006F71"/>
          <w:sz w:val="24"/>
          <w:szCs w:val="24"/>
          <w:lang w:eastAsia="cs-CZ"/>
        </w:rPr>
        <w:t>stupnice pH</w: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drawing>
          <wp:inline distT="0" distB="0" distL="0" distR="0" wp14:anchorId="7672DB4F" wp14:editId="39C437E4">
            <wp:extent cx="4754880" cy="998220"/>
            <wp:effectExtent l="0" t="0" r="7620" b="0"/>
            <wp:docPr id="7" name="obrázek 7" descr="http://www.komenskeho66.cz/materialy/chemie/WEB-CHEMIE8/obrazky/stupnice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omenskeho66.cz/materialy/chemie/WEB-CHEMIE8/obrazky/stupnicep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65" w:rsidRPr="00621165" w:rsidRDefault="00621165" w:rsidP="00621165">
      <w:pPr>
        <w:shd w:val="clear" w:color="auto" w:fill="ECFEFE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pH &lt; 7 je roztok kyselý</w: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pH = 7 je roztok neutrální</w:t>
      </w:r>
    </w:p>
    <w:p w:rsidR="00621165" w:rsidRPr="00621165" w:rsidRDefault="00621165" w:rsidP="00621165">
      <w:pPr>
        <w:shd w:val="clear" w:color="auto" w:fill="ECFEFE"/>
        <w:spacing w:before="90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pH &gt; 7 je roztok zásaditý</w: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Čím je hodnota pH menší, tím je roztok kyselejší, a čím je větší, tím je roztok zásaditější.</w: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pH měříme univerzálními indikátorovými papírky a přístroji pH-metry.</w:t>
      </w:r>
    </w:p>
    <w:p w:rsidR="00621165" w:rsidRPr="00621165" w:rsidRDefault="00621165" w:rsidP="00621165">
      <w:pPr>
        <w:shd w:val="clear" w:color="auto" w:fill="ECFEFE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pict>
          <v:rect id="_x0000_i1026" style="width:0;height:1.5pt" o:hralign="center" o:hrstd="t" o:hr="t" fillcolor="#a0a0a0" stroked="f"/>
        </w:pic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 xml:space="preserve">Podstatou kyselosti a zásaditosti roztoků je koncentrace kationtů vodíků (správněji </w:t>
      </w:r>
      <w:proofErr w:type="spellStart"/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oxoniových</w:t>
      </w:r>
      <w:proofErr w:type="spellEnd"/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kationtů H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cs-CZ"/>
        </w:rPr>
        <w:t>3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cs-CZ"/>
        </w:rPr>
        <w:t>+</w:t>
      </w: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) a hydroxidových aniontů v roztoku. V neutrálním roztoku je koncentrace vodíkových kationtů a hydroxidových aniontů stejná.</w:t>
      </w:r>
    </w:p>
    <w:p w:rsidR="00621165" w:rsidRPr="00621165" w:rsidRDefault="00621165" w:rsidP="00621165">
      <w:pPr>
        <w:shd w:val="clear" w:color="auto" w:fill="ECFEFE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62116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Kationty vodíku jsou nositeli kyselosti a hydroxidové aniony nositeli zásaditosti.</w:t>
      </w:r>
    </w:p>
    <w:p w:rsidR="00876E5F" w:rsidRDefault="00876E5F">
      <w:bookmarkStart w:id="0" w:name="_GoBack"/>
      <w:bookmarkEnd w:id="0"/>
    </w:p>
    <w:sectPr w:rsidR="0087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65"/>
    <w:rsid w:val="00621165"/>
    <w:rsid w:val="008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97A-B0FE-45F8-814A-F46EA314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Petřvalský Vladimír, Ing.</dc:creator>
  <cp:keywords/>
  <dc:description/>
  <cp:lastModifiedBy>Petřvalský Vladimír, Ing.</cp:lastModifiedBy>
  <cp:revision>1</cp:revision>
  <dcterms:created xsi:type="dcterms:W3CDTF">2020-05-31T17:58:00Z</dcterms:created>
  <dcterms:modified xsi:type="dcterms:W3CDTF">2020-05-31T17:58:00Z</dcterms:modified>
</cp:coreProperties>
</file>